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A8D39" w14:textId="77777777" w:rsidR="001C5011" w:rsidRPr="001C5011" w:rsidRDefault="001C5011" w:rsidP="001C5011">
      <w:pPr>
        <w:jc w:val="center"/>
        <w:rPr>
          <w:sz w:val="52"/>
          <w:szCs w:val="52"/>
        </w:rPr>
      </w:pPr>
      <w:r w:rsidRPr="001C5011">
        <w:rPr>
          <w:sz w:val="52"/>
          <w:szCs w:val="52"/>
        </w:rPr>
        <w:t xml:space="preserve">Grille de réponse </w:t>
      </w:r>
    </w:p>
    <w:p w14:paraId="03B2AFD8" w14:textId="46F03447" w:rsidR="009F0F0B" w:rsidRDefault="001C5011" w:rsidP="001C5011">
      <w:pPr>
        <w:jc w:val="center"/>
        <w:rPr>
          <w:sz w:val="36"/>
          <w:szCs w:val="36"/>
        </w:rPr>
      </w:pPr>
      <w:r w:rsidRPr="001C5011">
        <w:rPr>
          <w:sz w:val="36"/>
          <w:szCs w:val="36"/>
        </w:rPr>
        <w:t>(</w:t>
      </w:r>
      <w:proofErr w:type="gramStart"/>
      <w:r w:rsidRPr="001C5011">
        <w:rPr>
          <w:sz w:val="36"/>
          <w:szCs w:val="36"/>
        </w:rPr>
        <w:t>à</w:t>
      </w:r>
      <w:proofErr w:type="gramEnd"/>
      <w:r w:rsidRPr="001C5011">
        <w:rPr>
          <w:sz w:val="36"/>
          <w:szCs w:val="36"/>
        </w:rPr>
        <w:t xml:space="preserve"> renseigner par le </w:t>
      </w:r>
      <w:commentRangeStart w:id="0"/>
      <w:r w:rsidRPr="001C5011">
        <w:rPr>
          <w:sz w:val="36"/>
          <w:szCs w:val="36"/>
        </w:rPr>
        <w:t>soumissionnaire</w:t>
      </w:r>
      <w:commentRangeEnd w:id="0"/>
      <w:r w:rsidR="003E74E7">
        <w:rPr>
          <w:rStyle w:val="Marquedecommentaire"/>
        </w:rPr>
        <w:commentReference w:id="0"/>
      </w:r>
      <w:r w:rsidR="002066AE">
        <w:rPr>
          <w:sz w:val="36"/>
          <w:szCs w:val="36"/>
        </w:rPr>
        <w:t xml:space="preserve"> du lot n°9</w:t>
      </w:r>
      <w:r w:rsidRPr="001C5011">
        <w:rPr>
          <w:sz w:val="36"/>
          <w:szCs w:val="36"/>
        </w:rPr>
        <w:t>)</w:t>
      </w:r>
    </w:p>
    <w:tbl>
      <w:tblPr>
        <w:tblStyle w:val="Grilledutableau"/>
        <w:tblW w:w="10490" w:type="dxa"/>
        <w:tblInd w:w="-856" w:type="dxa"/>
        <w:tblLook w:val="04A0" w:firstRow="1" w:lastRow="0" w:firstColumn="1" w:lastColumn="0" w:noHBand="0" w:noVBand="1"/>
      </w:tblPr>
      <w:tblGrid>
        <w:gridCol w:w="3876"/>
        <w:gridCol w:w="3021"/>
        <w:gridCol w:w="3593"/>
      </w:tblGrid>
      <w:tr w:rsidR="001C5011" w14:paraId="02FDD57C" w14:textId="77777777" w:rsidTr="001C5011">
        <w:trPr>
          <w:trHeight w:val="865"/>
        </w:trPr>
        <w:tc>
          <w:tcPr>
            <w:tcW w:w="3876" w:type="dxa"/>
            <w:shd w:val="clear" w:color="auto" w:fill="8EAADB" w:themeFill="accent1" w:themeFillTint="99"/>
            <w:vAlign w:val="center"/>
          </w:tcPr>
          <w:p w14:paraId="50D7CB00" w14:textId="4C7A8991" w:rsidR="001C5011" w:rsidRPr="001C5011" w:rsidRDefault="001C5011" w:rsidP="001C5011">
            <w:pPr>
              <w:jc w:val="center"/>
              <w:rPr>
                <w:b/>
                <w:bCs/>
                <w:sz w:val="24"/>
                <w:szCs w:val="24"/>
              </w:rPr>
            </w:pPr>
            <w:r w:rsidRPr="001C5011">
              <w:rPr>
                <w:b/>
                <w:bCs/>
                <w:sz w:val="24"/>
                <w:szCs w:val="24"/>
              </w:rPr>
              <w:t>Objet de la demande</w:t>
            </w:r>
          </w:p>
        </w:tc>
        <w:tc>
          <w:tcPr>
            <w:tcW w:w="3021" w:type="dxa"/>
            <w:shd w:val="clear" w:color="auto" w:fill="8EAADB" w:themeFill="accent1" w:themeFillTint="99"/>
            <w:vAlign w:val="center"/>
          </w:tcPr>
          <w:p w14:paraId="019399AB" w14:textId="0454F627" w:rsidR="001C5011" w:rsidRPr="001C5011" w:rsidRDefault="001C5011" w:rsidP="001C5011">
            <w:pPr>
              <w:jc w:val="center"/>
              <w:rPr>
                <w:b/>
                <w:bCs/>
                <w:sz w:val="36"/>
                <w:szCs w:val="36"/>
              </w:rPr>
            </w:pPr>
            <w:r w:rsidRPr="001C5011">
              <w:rPr>
                <w:b/>
                <w:bCs/>
                <w:sz w:val="24"/>
                <w:szCs w:val="24"/>
              </w:rPr>
              <w:t>Information requise</w:t>
            </w:r>
          </w:p>
        </w:tc>
        <w:tc>
          <w:tcPr>
            <w:tcW w:w="3593" w:type="dxa"/>
            <w:shd w:val="clear" w:color="auto" w:fill="8EAADB" w:themeFill="accent1" w:themeFillTint="99"/>
            <w:vAlign w:val="center"/>
          </w:tcPr>
          <w:p w14:paraId="167AE05C" w14:textId="6195E374" w:rsidR="001C5011" w:rsidRPr="001C5011" w:rsidRDefault="001C5011" w:rsidP="001C5011">
            <w:pPr>
              <w:jc w:val="center"/>
              <w:rPr>
                <w:b/>
                <w:bCs/>
                <w:sz w:val="36"/>
                <w:szCs w:val="36"/>
              </w:rPr>
            </w:pPr>
            <w:r w:rsidRPr="001C5011">
              <w:rPr>
                <w:b/>
                <w:bCs/>
                <w:sz w:val="24"/>
                <w:szCs w:val="24"/>
              </w:rPr>
              <w:t>Réponse du soumissionnaire</w:t>
            </w:r>
          </w:p>
        </w:tc>
      </w:tr>
      <w:tr w:rsidR="001C5011" w:rsidRPr="001C5011" w14:paraId="02B6066E" w14:textId="77777777" w:rsidTr="001C5011">
        <w:trPr>
          <w:trHeight w:val="1271"/>
        </w:trPr>
        <w:tc>
          <w:tcPr>
            <w:tcW w:w="3876" w:type="dxa"/>
          </w:tcPr>
          <w:p w14:paraId="5EF3AD88" w14:textId="6ADAB340" w:rsidR="001C5011" w:rsidRPr="001C5011" w:rsidRDefault="001C5011" w:rsidP="001C5011">
            <w:pPr>
              <w:jc w:val="both"/>
            </w:pPr>
            <w:r w:rsidRPr="001C5011">
              <w:t>Circularité des matériaux constitutifs de la carrosserie</w:t>
            </w:r>
          </w:p>
        </w:tc>
        <w:tc>
          <w:tcPr>
            <w:tcW w:w="3021" w:type="dxa"/>
          </w:tcPr>
          <w:p w14:paraId="4555146F" w14:textId="42BE6736" w:rsidR="001C5011" w:rsidRPr="001C5011" w:rsidRDefault="001C5011" w:rsidP="001C5011">
            <w:pPr>
              <w:pStyle w:val="Default"/>
              <w:jc w:val="both"/>
              <w:rPr>
                <w:sz w:val="22"/>
                <w:szCs w:val="22"/>
              </w:rPr>
            </w:pPr>
            <w:r w:rsidRPr="001C5011">
              <w:rPr>
                <w:sz w:val="22"/>
                <w:szCs w:val="22"/>
              </w:rPr>
              <w:t xml:space="preserve">Part d’aluminium et d’acier constituant la carrosserie, exprimée en pourcentage du poids total de la carrosserie. </w:t>
            </w:r>
          </w:p>
        </w:tc>
        <w:tc>
          <w:tcPr>
            <w:tcW w:w="3593" w:type="dxa"/>
          </w:tcPr>
          <w:p w14:paraId="6BFDCD33" w14:textId="77777777" w:rsidR="001C5011" w:rsidRPr="001C5011" w:rsidRDefault="001C5011" w:rsidP="001C5011">
            <w:pPr>
              <w:jc w:val="both"/>
            </w:pPr>
          </w:p>
        </w:tc>
      </w:tr>
      <w:tr w:rsidR="003F44AA" w:rsidRPr="001C5011" w14:paraId="20E709D7" w14:textId="77777777" w:rsidTr="001C5011">
        <w:trPr>
          <w:trHeight w:val="1271"/>
        </w:trPr>
        <w:tc>
          <w:tcPr>
            <w:tcW w:w="3876" w:type="dxa"/>
          </w:tcPr>
          <w:p w14:paraId="2AEB8D93" w14:textId="38D25DCE" w:rsidR="003F44AA" w:rsidRDefault="003F44AA" w:rsidP="003F44AA">
            <w:pPr>
              <w:pStyle w:val="Default"/>
              <w:jc w:val="both"/>
              <w:rPr>
                <w:sz w:val="20"/>
                <w:szCs w:val="20"/>
              </w:rPr>
            </w:pPr>
            <w:r>
              <w:rPr>
                <w:sz w:val="20"/>
                <w:szCs w:val="20"/>
              </w:rPr>
              <w:t xml:space="preserve">Puissance acoustique </w:t>
            </w:r>
          </w:p>
          <w:p w14:paraId="4B4F9C79" w14:textId="77777777" w:rsidR="003F44AA" w:rsidRPr="001C5011" w:rsidRDefault="003F44AA" w:rsidP="001C5011">
            <w:pPr>
              <w:jc w:val="both"/>
            </w:pPr>
          </w:p>
        </w:tc>
        <w:tc>
          <w:tcPr>
            <w:tcW w:w="3021" w:type="dxa"/>
          </w:tcPr>
          <w:p w14:paraId="4D9BCFD7" w14:textId="0DBA4D4C" w:rsidR="003F44AA" w:rsidRDefault="003F44AA" w:rsidP="003F44AA">
            <w:pPr>
              <w:pStyle w:val="Default"/>
              <w:jc w:val="both"/>
              <w:rPr>
                <w:sz w:val="22"/>
                <w:szCs w:val="22"/>
              </w:rPr>
            </w:pPr>
            <w:r w:rsidRPr="003F44AA">
              <w:rPr>
                <w:sz w:val="22"/>
                <w:szCs w:val="22"/>
              </w:rPr>
              <w:t xml:space="preserve">Puissance acoustique de la PAC proposée, apprécié sur la base d’une mesure certifiée par </w:t>
            </w:r>
            <w:proofErr w:type="spellStart"/>
            <w:r w:rsidRPr="003F44AA">
              <w:rPr>
                <w:sz w:val="22"/>
                <w:szCs w:val="22"/>
              </w:rPr>
              <w:t>Eurovent</w:t>
            </w:r>
            <w:proofErr w:type="spellEnd"/>
            <w:r w:rsidRPr="003F44AA">
              <w:rPr>
                <w:sz w:val="22"/>
                <w:szCs w:val="22"/>
              </w:rPr>
              <w:t xml:space="preserve"> </w:t>
            </w:r>
            <w:proofErr w:type="spellStart"/>
            <w:r w:rsidRPr="003F44AA">
              <w:rPr>
                <w:sz w:val="22"/>
                <w:szCs w:val="22"/>
              </w:rPr>
              <w:t>Certita</w:t>
            </w:r>
            <w:proofErr w:type="spellEnd"/>
            <w:r w:rsidRPr="003F44AA">
              <w:rPr>
                <w:sz w:val="22"/>
                <w:szCs w:val="22"/>
              </w:rPr>
              <w:t xml:space="preserve"> Certification ou HP </w:t>
            </w:r>
            <w:proofErr w:type="spellStart"/>
            <w:r w:rsidRPr="003F44AA">
              <w:rPr>
                <w:sz w:val="22"/>
                <w:szCs w:val="22"/>
              </w:rPr>
              <w:t>Keymark</w:t>
            </w:r>
            <w:proofErr w:type="spellEnd"/>
            <w:r w:rsidRPr="003F44AA">
              <w:rPr>
                <w:sz w:val="22"/>
                <w:szCs w:val="22"/>
              </w:rPr>
              <w:t xml:space="preserve"> (ou organisme certifiant tiers équivalent). </w:t>
            </w:r>
          </w:p>
          <w:p w14:paraId="1635A772" w14:textId="77777777" w:rsidR="003F44AA" w:rsidRDefault="003F44AA" w:rsidP="003F44AA">
            <w:pPr>
              <w:pStyle w:val="Default"/>
              <w:jc w:val="both"/>
              <w:rPr>
                <w:sz w:val="22"/>
                <w:szCs w:val="22"/>
              </w:rPr>
            </w:pPr>
          </w:p>
          <w:p w14:paraId="48329A3C" w14:textId="23658C2B" w:rsidR="003F44AA" w:rsidRPr="001C5011" w:rsidRDefault="003F44AA" w:rsidP="003F44AA">
            <w:pPr>
              <w:pStyle w:val="Default"/>
              <w:jc w:val="both"/>
              <w:rPr>
                <w:sz w:val="22"/>
                <w:szCs w:val="22"/>
              </w:rPr>
            </w:pPr>
            <w:r>
              <w:rPr>
                <w:sz w:val="16"/>
                <w:szCs w:val="16"/>
              </w:rPr>
              <w:t xml:space="preserve">Il est précisé que la mesure attendue est la puissance acoustique de l’appareil (caractéristique intrinsèque de la source sonore, indépendamment de l'environnement), et non pas la pression acoustique (reflétant le niveau sonore perçu à un endroit donné et qui varie en fonction de la distance à la source et des conditions environnementales). Cette dernière mesure n’est pas recevable. </w:t>
            </w:r>
            <w:r>
              <w:t xml:space="preserve"> </w:t>
            </w:r>
          </w:p>
        </w:tc>
        <w:tc>
          <w:tcPr>
            <w:tcW w:w="3593" w:type="dxa"/>
          </w:tcPr>
          <w:p w14:paraId="5853C630" w14:textId="77777777" w:rsidR="003F44AA" w:rsidRPr="001C5011" w:rsidRDefault="003F44AA" w:rsidP="001C5011">
            <w:pPr>
              <w:jc w:val="both"/>
            </w:pPr>
          </w:p>
        </w:tc>
      </w:tr>
      <w:tr w:rsidR="001C5011" w:rsidRPr="001C5011" w14:paraId="2FE5A5E8" w14:textId="77777777" w:rsidTr="001C5011">
        <w:trPr>
          <w:trHeight w:val="1118"/>
        </w:trPr>
        <w:tc>
          <w:tcPr>
            <w:tcW w:w="3876" w:type="dxa"/>
          </w:tcPr>
          <w:p w14:paraId="1C2168D4" w14:textId="19CB8C19" w:rsidR="001C5011" w:rsidRPr="001C5011" w:rsidRDefault="001C5011" w:rsidP="001C5011">
            <w:pPr>
              <w:jc w:val="both"/>
            </w:pPr>
            <w:r w:rsidRPr="001C5011">
              <w:t>Part des matériaux issus du recyclage</w:t>
            </w:r>
          </w:p>
        </w:tc>
        <w:tc>
          <w:tcPr>
            <w:tcW w:w="3021" w:type="dxa"/>
          </w:tcPr>
          <w:p w14:paraId="48BF4FB4" w14:textId="49BCC671" w:rsidR="001C5011" w:rsidRPr="001C5011" w:rsidRDefault="001C5011" w:rsidP="001C5011">
            <w:pPr>
              <w:pStyle w:val="Default"/>
              <w:jc w:val="both"/>
              <w:rPr>
                <w:sz w:val="22"/>
                <w:szCs w:val="22"/>
              </w:rPr>
            </w:pPr>
            <w:r w:rsidRPr="001C5011">
              <w:rPr>
                <w:sz w:val="22"/>
                <w:szCs w:val="22"/>
              </w:rPr>
              <w:t xml:space="preserve">Part de matériaux issus du recyclage, exprimée en pourcentage du poids total du produit. </w:t>
            </w:r>
          </w:p>
        </w:tc>
        <w:tc>
          <w:tcPr>
            <w:tcW w:w="3593" w:type="dxa"/>
          </w:tcPr>
          <w:p w14:paraId="6E619031" w14:textId="77777777" w:rsidR="001C5011" w:rsidRPr="001C5011" w:rsidRDefault="001C5011" w:rsidP="001C5011">
            <w:pPr>
              <w:jc w:val="both"/>
            </w:pPr>
          </w:p>
        </w:tc>
      </w:tr>
      <w:tr w:rsidR="001C5011" w:rsidRPr="001C5011" w14:paraId="03BFA064" w14:textId="77777777" w:rsidTr="001C5011">
        <w:tc>
          <w:tcPr>
            <w:tcW w:w="3876" w:type="dxa"/>
          </w:tcPr>
          <w:p w14:paraId="181A83BC" w14:textId="106ED03C" w:rsidR="001C5011" w:rsidRPr="001C5011" w:rsidRDefault="001C5011" w:rsidP="001C5011">
            <w:pPr>
              <w:jc w:val="both"/>
            </w:pPr>
            <w:r w:rsidRPr="001C5011">
              <w:t>Ratio de réparabilité</w:t>
            </w:r>
          </w:p>
        </w:tc>
        <w:tc>
          <w:tcPr>
            <w:tcW w:w="3021" w:type="dxa"/>
          </w:tcPr>
          <w:p w14:paraId="10E525D2" w14:textId="77777777" w:rsidR="001C5011" w:rsidRPr="001C5011" w:rsidRDefault="001C5011" w:rsidP="001C5011">
            <w:pPr>
              <w:pStyle w:val="Default"/>
              <w:jc w:val="both"/>
              <w:rPr>
                <w:sz w:val="22"/>
                <w:szCs w:val="22"/>
              </w:rPr>
            </w:pPr>
            <w:r w:rsidRPr="001C5011">
              <w:rPr>
                <w:sz w:val="22"/>
                <w:szCs w:val="22"/>
              </w:rPr>
              <w:t xml:space="preserve">Ratio de réparabilité d’après la formule suivante, le résultat étant exprimé en pourcentage (sur la base de la nomenclature produit de niveau 1) : </w:t>
            </w:r>
          </w:p>
          <w:p w14:paraId="4C79B4E2" w14:textId="77777777" w:rsidR="001C5011" w:rsidRPr="001C5011" w:rsidRDefault="001C5011" w:rsidP="001C5011">
            <w:pPr>
              <w:jc w:val="both"/>
            </w:pPr>
            <w:proofErr w:type="gramStart"/>
            <w:r w:rsidRPr="001C5011">
              <w:t>nombre</w:t>
            </w:r>
            <w:proofErr w:type="gramEnd"/>
            <w:r w:rsidRPr="001C5011">
              <w:t xml:space="preserve"> de composants réparables ou remplaçables / nombre total de composants constituant le produit fini x 100 </w:t>
            </w:r>
          </w:p>
          <w:p w14:paraId="4C3C7D97" w14:textId="40DC2B40" w:rsidR="001C5011" w:rsidRPr="001C5011" w:rsidRDefault="001C5011" w:rsidP="001C5011">
            <w:pPr>
              <w:jc w:val="both"/>
            </w:pPr>
            <w:r w:rsidRPr="001C5011">
              <w:t xml:space="preserve">Précision : On entend par « remplaçable », toute pièce (ou ensemble de pièces) remplaçables par le fabricant </w:t>
            </w:r>
            <w:r w:rsidRPr="001C5011">
              <w:lastRenderedPageBreak/>
              <w:t xml:space="preserve">ou un professionnel agréé par le fabricant  </w:t>
            </w:r>
          </w:p>
        </w:tc>
        <w:tc>
          <w:tcPr>
            <w:tcW w:w="3593" w:type="dxa"/>
          </w:tcPr>
          <w:p w14:paraId="47AAEFD5" w14:textId="77777777" w:rsidR="001C5011" w:rsidRPr="001C5011" w:rsidRDefault="001C5011" w:rsidP="001C5011">
            <w:pPr>
              <w:jc w:val="both"/>
            </w:pPr>
          </w:p>
        </w:tc>
      </w:tr>
      <w:tr w:rsidR="001C5011" w:rsidRPr="001C5011" w14:paraId="43B56B4C" w14:textId="77777777" w:rsidTr="001C5011">
        <w:tc>
          <w:tcPr>
            <w:tcW w:w="3876" w:type="dxa"/>
          </w:tcPr>
          <w:p w14:paraId="6D527E84" w14:textId="113BB496" w:rsidR="001C5011" w:rsidRPr="001C5011" w:rsidRDefault="001C5011" w:rsidP="001C5011">
            <w:pPr>
              <w:jc w:val="both"/>
            </w:pPr>
            <w:r w:rsidRPr="001C5011">
              <w:t>Disponibilité des pièces</w:t>
            </w:r>
          </w:p>
        </w:tc>
        <w:tc>
          <w:tcPr>
            <w:tcW w:w="3021" w:type="dxa"/>
          </w:tcPr>
          <w:p w14:paraId="0ABD2515" w14:textId="77777777" w:rsidR="001C5011" w:rsidRPr="001C5011" w:rsidRDefault="001C5011" w:rsidP="001C5011">
            <w:pPr>
              <w:pStyle w:val="Default"/>
              <w:jc w:val="both"/>
              <w:rPr>
                <w:sz w:val="22"/>
                <w:szCs w:val="22"/>
              </w:rPr>
            </w:pPr>
            <w:r w:rsidRPr="001C5011">
              <w:rPr>
                <w:sz w:val="22"/>
                <w:szCs w:val="22"/>
              </w:rPr>
              <w:t xml:space="preserve">Durée de disponibilité des pièces détachées, à compter de la date de fin de commercialisation du/des produit(s). </w:t>
            </w:r>
          </w:p>
          <w:p w14:paraId="10CC8ED5" w14:textId="77777777" w:rsidR="001C5011" w:rsidRPr="001C5011" w:rsidRDefault="001C5011" w:rsidP="001C5011">
            <w:pPr>
              <w:pStyle w:val="Default"/>
              <w:jc w:val="both"/>
              <w:rPr>
                <w:sz w:val="22"/>
                <w:szCs w:val="22"/>
              </w:rPr>
            </w:pPr>
          </w:p>
        </w:tc>
        <w:tc>
          <w:tcPr>
            <w:tcW w:w="3593" w:type="dxa"/>
          </w:tcPr>
          <w:p w14:paraId="1290450B" w14:textId="77777777" w:rsidR="001C5011" w:rsidRPr="001C5011" w:rsidRDefault="001C5011" w:rsidP="001C5011">
            <w:pPr>
              <w:jc w:val="both"/>
            </w:pPr>
          </w:p>
        </w:tc>
      </w:tr>
      <w:tr w:rsidR="001C5011" w:rsidRPr="001C5011" w14:paraId="1D439B54" w14:textId="77777777" w:rsidTr="001C5011">
        <w:tc>
          <w:tcPr>
            <w:tcW w:w="3876" w:type="dxa"/>
          </w:tcPr>
          <w:p w14:paraId="595CB6DB" w14:textId="1C746A12" w:rsidR="001C5011" w:rsidRPr="001C5011" w:rsidRDefault="001C5011" w:rsidP="001C5011">
            <w:pPr>
              <w:pStyle w:val="Default"/>
              <w:jc w:val="both"/>
              <w:rPr>
                <w:sz w:val="22"/>
                <w:szCs w:val="22"/>
              </w:rPr>
            </w:pPr>
            <w:r w:rsidRPr="001C5011">
              <w:rPr>
                <w:sz w:val="22"/>
                <w:szCs w:val="22"/>
              </w:rPr>
              <w:t>Durée de garantie</w:t>
            </w:r>
          </w:p>
        </w:tc>
        <w:tc>
          <w:tcPr>
            <w:tcW w:w="3021" w:type="dxa"/>
          </w:tcPr>
          <w:p w14:paraId="0243D66C" w14:textId="77777777" w:rsidR="001C5011" w:rsidRPr="001C5011" w:rsidRDefault="001C5011" w:rsidP="001C5011">
            <w:pPr>
              <w:pStyle w:val="Default"/>
              <w:jc w:val="both"/>
              <w:rPr>
                <w:sz w:val="22"/>
                <w:szCs w:val="22"/>
              </w:rPr>
            </w:pPr>
            <w:r w:rsidRPr="001C5011">
              <w:rPr>
                <w:sz w:val="22"/>
                <w:szCs w:val="22"/>
              </w:rPr>
              <w:t xml:space="preserve">Durée de garantie « principale » (portant sur la PAC dans son ensemble). </w:t>
            </w:r>
          </w:p>
          <w:p w14:paraId="227F07E2" w14:textId="77777777" w:rsidR="001C5011" w:rsidRPr="001C5011" w:rsidRDefault="001C5011" w:rsidP="001C5011">
            <w:pPr>
              <w:pStyle w:val="Default"/>
              <w:jc w:val="both"/>
              <w:rPr>
                <w:sz w:val="22"/>
                <w:szCs w:val="22"/>
              </w:rPr>
            </w:pPr>
            <w:r w:rsidRPr="001C5011">
              <w:rPr>
                <w:sz w:val="22"/>
                <w:szCs w:val="22"/>
              </w:rPr>
              <w:t xml:space="preserve">Indiquer également toute garanties additionnelle « spécifique » (couvrant un ou plusieurs organes spécifiques). </w:t>
            </w:r>
          </w:p>
          <w:p w14:paraId="54DFD8E8" w14:textId="7E5E2DE2" w:rsidR="001C5011" w:rsidRPr="001C5011" w:rsidRDefault="001C5011" w:rsidP="001C5011">
            <w:pPr>
              <w:pStyle w:val="Default"/>
              <w:jc w:val="both"/>
              <w:rPr>
                <w:sz w:val="22"/>
                <w:szCs w:val="22"/>
              </w:rPr>
            </w:pPr>
            <w:r w:rsidRPr="001C5011">
              <w:rPr>
                <w:sz w:val="22"/>
                <w:szCs w:val="22"/>
              </w:rPr>
              <w:t xml:space="preserve">Il est précisé que les extensions de garantie vendues à titre commercial ne doivent pas être prises en compte  </w:t>
            </w:r>
          </w:p>
        </w:tc>
        <w:tc>
          <w:tcPr>
            <w:tcW w:w="3593" w:type="dxa"/>
          </w:tcPr>
          <w:p w14:paraId="2A9124F5" w14:textId="77777777" w:rsidR="001C5011" w:rsidRPr="001C5011" w:rsidRDefault="001C5011" w:rsidP="001C5011">
            <w:pPr>
              <w:jc w:val="both"/>
            </w:pPr>
          </w:p>
        </w:tc>
      </w:tr>
      <w:tr w:rsidR="001C5011" w:rsidRPr="001C5011" w14:paraId="240ACED2" w14:textId="77777777" w:rsidTr="001C5011">
        <w:tc>
          <w:tcPr>
            <w:tcW w:w="3876" w:type="dxa"/>
          </w:tcPr>
          <w:p w14:paraId="2743A1C5" w14:textId="791AFC33" w:rsidR="001C5011" w:rsidRPr="001C5011" w:rsidRDefault="001C5011" w:rsidP="001C5011">
            <w:pPr>
              <w:jc w:val="both"/>
              <w:rPr>
                <w:rFonts w:eastAsia="Arial Unicode MS" w:cs="Tahoma"/>
                <w:kern w:val="3"/>
                <w:lang w:eastAsia="zh-CN" w:bidi="hi-IN"/>
                <w14:ligatures w14:val="none"/>
              </w:rPr>
            </w:pPr>
            <w:r w:rsidRPr="001C5011">
              <w:rPr>
                <w:rFonts w:eastAsia="Arial Unicode MS" w:cs="Tahoma"/>
                <w:kern w:val="3"/>
                <w:lang w:eastAsia="zh-CN" w:bidi="hi-IN"/>
                <w14:ligatures w14:val="none"/>
              </w:rPr>
              <w:t>Efficacité énergétique </w:t>
            </w:r>
          </w:p>
        </w:tc>
        <w:tc>
          <w:tcPr>
            <w:tcW w:w="3021" w:type="dxa"/>
          </w:tcPr>
          <w:p w14:paraId="1B9F0274" w14:textId="77777777" w:rsidR="001C5011" w:rsidRPr="001C5011" w:rsidRDefault="001C5011" w:rsidP="001C5011">
            <w:pPr>
              <w:pStyle w:val="Default"/>
              <w:jc w:val="both"/>
              <w:rPr>
                <w:sz w:val="22"/>
                <w:szCs w:val="22"/>
              </w:rPr>
            </w:pPr>
            <w:r w:rsidRPr="001C5011">
              <w:rPr>
                <w:sz w:val="22"/>
                <w:szCs w:val="22"/>
              </w:rPr>
              <w:t xml:space="preserve">Indice(s) ETAS du / des PAC proposée(s) dans l’offre </w:t>
            </w:r>
          </w:p>
          <w:p w14:paraId="68A1C7A6" w14:textId="77777777" w:rsidR="001C5011" w:rsidRPr="001C5011" w:rsidRDefault="001C5011" w:rsidP="001C5011">
            <w:pPr>
              <w:pStyle w:val="Default"/>
              <w:jc w:val="both"/>
              <w:rPr>
                <w:sz w:val="22"/>
                <w:szCs w:val="22"/>
              </w:rPr>
            </w:pPr>
          </w:p>
        </w:tc>
        <w:tc>
          <w:tcPr>
            <w:tcW w:w="3593" w:type="dxa"/>
          </w:tcPr>
          <w:p w14:paraId="21751747" w14:textId="77777777" w:rsidR="001C5011" w:rsidRPr="001C5011" w:rsidRDefault="001C5011" w:rsidP="001C5011">
            <w:pPr>
              <w:jc w:val="both"/>
            </w:pPr>
          </w:p>
        </w:tc>
      </w:tr>
      <w:tr w:rsidR="001C5011" w:rsidRPr="001C5011" w14:paraId="5C79F1AC" w14:textId="77777777" w:rsidTr="001C5011">
        <w:trPr>
          <w:trHeight w:val="1117"/>
        </w:trPr>
        <w:tc>
          <w:tcPr>
            <w:tcW w:w="3876" w:type="dxa"/>
          </w:tcPr>
          <w:p w14:paraId="075443FE" w14:textId="4D3943CD" w:rsidR="001C5011" w:rsidRPr="001C5011" w:rsidRDefault="001C5011" w:rsidP="001C5011">
            <w:pPr>
              <w:jc w:val="both"/>
              <w:rPr>
                <w:rFonts w:eastAsia="Arial Unicode MS" w:cs="Tahoma"/>
                <w:kern w:val="3"/>
                <w:lang w:eastAsia="zh-CN" w:bidi="hi-IN"/>
                <w14:ligatures w14:val="none"/>
              </w:rPr>
            </w:pPr>
            <w:r w:rsidRPr="001C5011">
              <w:rPr>
                <w:rFonts w:eastAsia="Arial Unicode MS" w:cs="Tahoma"/>
                <w:kern w:val="3"/>
                <w:lang w:eastAsia="zh-CN" w:bidi="hi-IN"/>
                <w14:ligatures w14:val="none"/>
              </w:rPr>
              <w:t>Pouvoir de réchauffement global (PRG) </w:t>
            </w:r>
          </w:p>
        </w:tc>
        <w:tc>
          <w:tcPr>
            <w:tcW w:w="3021" w:type="dxa"/>
          </w:tcPr>
          <w:p w14:paraId="7F6A6FB2" w14:textId="77777777" w:rsidR="001C5011" w:rsidRPr="001C5011" w:rsidRDefault="001C5011" w:rsidP="001C5011">
            <w:pPr>
              <w:pStyle w:val="Default"/>
              <w:jc w:val="both"/>
              <w:rPr>
                <w:sz w:val="22"/>
                <w:szCs w:val="22"/>
              </w:rPr>
            </w:pPr>
            <w:r w:rsidRPr="001C5011">
              <w:rPr>
                <w:sz w:val="22"/>
                <w:szCs w:val="22"/>
              </w:rPr>
              <w:t xml:space="preserve">Pour chaque PAC, indiquer le nom du fluide frigorigène, ainsi que son indice PRG. </w:t>
            </w:r>
          </w:p>
          <w:p w14:paraId="46C12191" w14:textId="77777777" w:rsidR="001C5011" w:rsidRPr="001C5011" w:rsidRDefault="001C5011" w:rsidP="001C5011">
            <w:pPr>
              <w:pStyle w:val="Default"/>
              <w:jc w:val="both"/>
              <w:rPr>
                <w:sz w:val="22"/>
                <w:szCs w:val="22"/>
              </w:rPr>
            </w:pPr>
          </w:p>
        </w:tc>
        <w:tc>
          <w:tcPr>
            <w:tcW w:w="3593" w:type="dxa"/>
          </w:tcPr>
          <w:p w14:paraId="7A319DA6" w14:textId="77777777" w:rsidR="001C5011" w:rsidRPr="001C5011" w:rsidRDefault="001C5011" w:rsidP="001C5011">
            <w:pPr>
              <w:jc w:val="both"/>
            </w:pPr>
          </w:p>
        </w:tc>
      </w:tr>
      <w:tr w:rsidR="003F44AA" w:rsidRPr="001C5011" w14:paraId="32545B52" w14:textId="77777777" w:rsidTr="001C5011">
        <w:trPr>
          <w:trHeight w:val="1117"/>
        </w:trPr>
        <w:tc>
          <w:tcPr>
            <w:tcW w:w="3876" w:type="dxa"/>
          </w:tcPr>
          <w:p w14:paraId="7885D672" w14:textId="77777777" w:rsidR="003F44AA" w:rsidRDefault="003F44AA" w:rsidP="003F44AA">
            <w:pPr>
              <w:pStyle w:val="Default"/>
              <w:jc w:val="both"/>
              <w:rPr>
                <w:sz w:val="20"/>
                <w:szCs w:val="20"/>
              </w:rPr>
            </w:pPr>
            <w:r>
              <w:rPr>
                <w:sz w:val="20"/>
                <w:szCs w:val="20"/>
              </w:rPr>
              <w:t xml:space="preserve">Type de peinture utilisée </w:t>
            </w:r>
          </w:p>
          <w:p w14:paraId="3E0E43DA" w14:textId="77777777" w:rsidR="003F44AA" w:rsidRPr="001C5011" w:rsidRDefault="003F44AA" w:rsidP="001C5011">
            <w:pPr>
              <w:jc w:val="both"/>
              <w:rPr>
                <w:rFonts w:eastAsia="Arial Unicode MS" w:cs="Tahoma"/>
                <w:kern w:val="3"/>
                <w:lang w:eastAsia="zh-CN" w:bidi="hi-IN"/>
                <w14:ligatures w14:val="none"/>
              </w:rPr>
            </w:pPr>
          </w:p>
        </w:tc>
        <w:tc>
          <w:tcPr>
            <w:tcW w:w="3021" w:type="dxa"/>
          </w:tcPr>
          <w:p w14:paraId="27193109" w14:textId="490B58AB" w:rsidR="003F44AA" w:rsidRDefault="003F44AA" w:rsidP="003F44AA">
            <w:pPr>
              <w:pStyle w:val="Default"/>
              <w:jc w:val="both"/>
              <w:rPr>
                <w:sz w:val="20"/>
                <w:szCs w:val="20"/>
              </w:rPr>
            </w:pPr>
            <w:r>
              <w:rPr>
                <w:sz w:val="20"/>
                <w:szCs w:val="20"/>
              </w:rPr>
              <w:t xml:space="preserve">Indiquer pour chaque PAC : </w:t>
            </w:r>
          </w:p>
          <w:p w14:paraId="0C7AEC42" w14:textId="77777777" w:rsidR="003F44AA" w:rsidRDefault="003F44AA" w:rsidP="003F44AA">
            <w:pPr>
              <w:pStyle w:val="Default"/>
              <w:jc w:val="both"/>
              <w:rPr>
                <w:sz w:val="20"/>
                <w:szCs w:val="20"/>
              </w:rPr>
            </w:pPr>
            <w:r>
              <w:rPr>
                <w:sz w:val="20"/>
                <w:szCs w:val="20"/>
              </w:rPr>
              <w:t xml:space="preserve">- utilisation de peinture en poudre polyester (oui/non) ; </w:t>
            </w:r>
          </w:p>
          <w:p w14:paraId="4BB34CD9" w14:textId="77777777" w:rsidR="003F44AA" w:rsidRDefault="003F44AA" w:rsidP="003F44AA">
            <w:pPr>
              <w:pStyle w:val="Default"/>
              <w:jc w:val="both"/>
              <w:rPr>
                <w:sz w:val="20"/>
                <w:szCs w:val="20"/>
              </w:rPr>
            </w:pPr>
            <w:r>
              <w:rPr>
                <w:sz w:val="20"/>
                <w:szCs w:val="20"/>
              </w:rPr>
              <w:t xml:space="preserve">- présence de systèmes de filtrations efficaces sur les chaînes de peinture (oui/non). </w:t>
            </w:r>
          </w:p>
          <w:p w14:paraId="3B0AD80D" w14:textId="77777777" w:rsidR="003F44AA" w:rsidRDefault="003F44AA" w:rsidP="003F44AA">
            <w:pPr>
              <w:pStyle w:val="Default"/>
              <w:jc w:val="both"/>
              <w:rPr>
                <w:sz w:val="22"/>
                <w:szCs w:val="22"/>
              </w:rPr>
            </w:pPr>
          </w:p>
          <w:p w14:paraId="444DE2A1" w14:textId="2A0F429D" w:rsidR="003F44AA" w:rsidRPr="001C5011" w:rsidRDefault="003F44AA" w:rsidP="003F44AA">
            <w:pPr>
              <w:pStyle w:val="Default"/>
              <w:jc w:val="both"/>
              <w:rPr>
                <w:sz w:val="22"/>
                <w:szCs w:val="22"/>
              </w:rPr>
            </w:pPr>
            <w:proofErr w:type="gramStart"/>
            <w:r>
              <w:rPr>
                <w:sz w:val="16"/>
                <w:szCs w:val="16"/>
              </w:rPr>
              <w:t>il</w:t>
            </w:r>
            <w:proofErr w:type="gramEnd"/>
            <w:r>
              <w:rPr>
                <w:sz w:val="16"/>
                <w:szCs w:val="16"/>
              </w:rPr>
              <w:t xml:space="preserve"> convient de noter que cette obligation ne s’applique pas aux matériaux ne nécessitant pas de traitement de peinture, comme par exemple l’aluminium ou l’acier inoxydable. </w:t>
            </w:r>
            <w:r>
              <w:t xml:space="preserve"> </w:t>
            </w:r>
          </w:p>
        </w:tc>
        <w:tc>
          <w:tcPr>
            <w:tcW w:w="3593" w:type="dxa"/>
          </w:tcPr>
          <w:p w14:paraId="7AFC0B8F" w14:textId="77777777" w:rsidR="003F44AA" w:rsidRPr="001C5011" w:rsidRDefault="003F44AA" w:rsidP="001C5011">
            <w:pPr>
              <w:jc w:val="both"/>
            </w:pPr>
          </w:p>
        </w:tc>
      </w:tr>
    </w:tbl>
    <w:p w14:paraId="56D2E51A" w14:textId="77777777" w:rsidR="001C5011" w:rsidRPr="001C5011" w:rsidRDefault="001C5011" w:rsidP="001C5011">
      <w:pPr>
        <w:jc w:val="both"/>
      </w:pPr>
    </w:p>
    <w:sectPr w:rsidR="001C5011" w:rsidRPr="001C5011">
      <w:headerReference w:type="default" r:id="rId10"/>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érémy FUSILLIER" w:date="2026-01-20T18:16:00Z" w:initials="JF">
    <w:p w14:paraId="34BABC47" w14:textId="77777777" w:rsidR="003E74E7" w:rsidRDefault="003E74E7" w:rsidP="003E74E7">
      <w:pPr>
        <w:pStyle w:val="Commentaire"/>
      </w:pPr>
      <w:r>
        <w:rPr>
          <w:rStyle w:val="Marquedecommentaire"/>
        </w:rPr>
        <w:annotationRef/>
      </w:r>
      <w:r>
        <w:t>Préciser «du lot 09» puisque cette grille ne concerne que la PAC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BABC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73F397" w16cex:dateUtc="2026-01-20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BABC47" w16cid:durableId="0473F3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FE8DE" w14:textId="77777777" w:rsidR="001C5011" w:rsidRDefault="001C5011" w:rsidP="001C5011">
      <w:pPr>
        <w:spacing w:after="0" w:line="240" w:lineRule="auto"/>
      </w:pPr>
      <w:r>
        <w:separator/>
      </w:r>
    </w:p>
  </w:endnote>
  <w:endnote w:type="continuationSeparator" w:id="0">
    <w:p w14:paraId="164A4D72" w14:textId="77777777" w:rsidR="001C5011" w:rsidRDefault="001C5011" w:rsidP="001C50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32ECB" w14:textId="77777777" w:rsidR="001C5011" w:rsidRDefault="001C5011" w:rsidP="001C5011">
      <w:pPr>
        <w:spacing w:after="0" w:line="240" w:lineRule="auto"/>
      </w:pPr>
      <w:r>
        <w:separator/>
      </w:r>
    </w:p>
  </w:footnote>
  <w:footnote w:type="continuationSeparator" w:id="0">
    <w:p w14:paraId="0F17A765" w14:textId="77777777" w:rsidR="001C5011" w:rsidRDefault="001C5011" w:rsidP="001C50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45A60" w14:textId="1B5114DC" w:rsidR="001C5011" w:rsidRDefault="001C5011" w:rsidP="001C5011">
    <w:pPr>
      <w:pStyle w:val="En-tte"/>
      <w:jc w:val="center"/>
    </w:pPr>
    <w:r>
      <w:t>Consultation n°</w:t>
    </w:r>
    <w:r w:rsidRPr="001C5011">
      <w:t xml:space="preserve"> </w:t>
    </w:r>
    <w:r w:rsidR="00C376D5" w:rsidRPr="00C376D5">
      <w:t>SNIA_PAI-LYO_MAPA_25-075</w:t>
    </w:r>
  </w:p>
  <w:p w14:paraId="2FCBA779" w14:textId="7DA32837" w:rsidR="001C5011" w:rsidRDefault="00C376D5">
    <w:pPr>
      <w:pStyle w:val="En-tte"/>
    </w:pPr>
    <w:r w:rsidRPr="00C376D5">
      <w:t>Réhabilitation du bâtiment de la Maintenance régionale de Bourgogne Franche Comté</w:t>
    </w:r>
  </w:p>
  <w:p w14:paraId="45ACAED3" w14:textId="77777777" w:rsidR="001C5011" w:rsidRDefault="001C5011">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érémy FUSILLIER">
    <w15:presenceInfo w15:providerId="Windows Live" w15:userId="cbf5447025466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011"/>
    <w:rsid w:val="0002661F"/>
    <w:rsid w:val="001C5011"/>
    <w:rsid w:val="002066AE"/>
    <w:rsid w:val="003E74E7"/>
    <w:rsid w:val="003F44AA"/>
    <w:rsid w:val="005A335C"/>
    <w:rsid w:val="00625F1A"/>
    <w:rsid w:val="009F0F0B"/>
    <w:rsid w:val="00BA449F"/>
    <w:rsid w:val="00C376D5"/>
    <w:rsid w:val="00CE4A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3E1673"/>
  <w15:chartTrackingRefBased/>
  <w15:docId w15:val="{144A8F1B-F464-4E25-B406-339B0D6CB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C5011"/>
    <w:pPr>
      <w:tabs>
        <w:tab w:val="center" w:pos="4536"/>
        <w:tab w:val="right" w:pos="9072"/>
      </w:tabs>
      <w:spacing w:after="0" w:line="240" w:lineRule="auto"/>
    </w:pPr>
  </w:style>
  <w:style w:type="character" w:customStyle="1" w:styleId="En-tteCar">
    <w:name w:val="En-tête Car"/>
    <w:basedOn w:val="Policepardfaut"/>
    <w:link w:val="En-tte"/>
    <w:uiPriority w:val="99"/>
    <w:rsid w:val="001C5011"/>
  </w:style>
  <w:style w:type="paragraph" w:styleId="Pieddepage">
    <w:name w:val="footer"/>
    <w:basedOn w:val="Normal"/>
    <w:link w:val="PieddepageCar"/>
    <w:uiPriority w:val="99"/>
    <w:unhideWhenUsed/>
    <w:rsid w:val="001C501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C5011"/>
  </w:style>
  <w:style w:type="table" w:styleId="Grilledutableau">
    <w:name w:val="Table Grid"/>
    <w:basedOn w:val="TableauNormal"/>
    <w:uiPriority w:val="39"/>
    <w:rsid w:val="001C50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C5011"/>
    <w:pPr>
      <w:autoSpaceDE w:val="0"/>
      <w:autoSpaceDN w:val="0"/>
      <w:adjustRightInd w:val="0"/>
      <w:spacing w:after="0" w:line="240" w:lineRule="auto"/>
    </w:pPr>
    <w:rPr>
      <w:rFonts w:ascii="Marianne" w:hAnsi="Marianne" w:cs="Marianne"/>
      <w:color w:val="000000"/>
      <w:kern w:val="0"/>
      <w:sz w:val="24"/>
      <w:szCs w:val="24"/>
    </w:rPr>
  </w:style>
  <w:style w:type="character" w:styleId="Marquedecommentaire">
    <w:name w:val="annotation reference"/>
    <w:basedOn w:val="Policepardfaut"/>
    <w:uiPriority w:val="99"/>
    <w:semiHidden/>
    <w:unhideWhenUsed/>
    <w:rsid w:val="003E74E7"/>
    <w:rPr>
      <w:sz w:val="16"/>
      <w:szCs w:val="16"/>
    </w:rPr>
  </w:style>
  <w:style w:type="paragraph" w:styleId="Commentaire">
    <w:name w:val="annotation text"/>
    <w:basedOn w:val="Normal"/>
    <w:link w:val="CommentaireCar"/>
    <w:uiPriority w:val="99"/>
    <w:unhideWhenUsed/>
    <w:rsid w:val="003E74E7"/>
    <w:pPr>
      <w:spacing w:line="240" w:lineRule="auto"/>
    </w:pPr>
    <w:rPr>
      <w:sz w:val="20"/>
      <w:szCs w:val="20"/>
    </w:rPr>
  </w:style>
  <w:style w:type="character" w:customStyle="1" w:styleId="CommentaireCar">
    <w:name w:val="Commentaire Car"/>
    <w:basedOn w:val="Policepardfaut"/>
    <w:link w:val="Commentaire"/>
    <w:uiPriority w:val="99"/>
    <w:rsid w:val="003E74E7"/>
    <w:rPr>
      <w:sz w:val="20"/>
      <w:szCs w:val="20"/>
    </w:rPr>
  </w:style>
  <w:style w:type="paragraph" w:styleId="Objetducommentaire">
    <w:name w:val="annotation subject"/>
    <w:basedOn w:val="Commentaire"/>
    <w:next w:val="Commentaire"/>
    <w:link w:val="ObjetducommentaireCar"/>
    <w:uiPriority w:val="99"/>
    <w:semiHidden/>
    <w:unhideWhenUsed/>
    <w:rsid w:val="003E74E7"/>
    <w:rPr>
      <w:b/>
      <w:bCs/>
    </w:rPr>
  </w:style>
  <w:style w:type="character" w:customStyle="1" w:styleId="ObjetducommentaireCar">
    <w:name w:val="Objet du commentaire Car"/>
    <w:basedOn w:val="CommentaireCar"/>
    <w:link w:val="Objetducommentaire"/>
    <w:uiPriority w:val="99"/>
    <w:semiHidden/>
    <w:rsid w:val="003E74E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387</Words>
  <Characters>2134</Characters>
  <Application>Microsoft Office Word</Application>
  <DocSecurity>0</DocSecurity>
  <Lines>17</Lines>
  <Paragraphs>5</Paragraphs>
  <ScaleCrop>false</ScaleCrop>
  <Company>DGAC - CRNA-SO</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Cecile Cambet-Gabarra</dc:creator>
  <cp:keywords/>
  <dc:description/>
  <cp:lastModifiedBy>Frederic Leininger</cp:lastModifiedBy>
  <cp:revision>3</cp:revision>
  <dcterms:created xsi:type="dcterms:W3CDTF">2026-01-20T17:16:00Z</dcterms:created>
  <dcterms:modified xsi:type="dcterms:W3CDTF">2026-01-21T09:24:00Z</dcterms:modified>
</cp:coreProperties>
</file>